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jc w:val="center"/>
        <w:rPr>
          <w:rFonts w:ascii="Times New Roman" w:hAnsi="Times New Roman" w:cs="Times New Roman"/>
          <w:sz w:val="24"/>
          <w:szCs w:val="24"/>
        </w:rPr>
      </w:pPr>
    </w:p>
    <w:p w:rsidR="00AF115E" w:rsidRDefault="00AF115E" w:rsidP="00AF115E">
      <w:pPr>
        <w:spacing w:line="480" w:lineRule="auto"/>
        <w:jc w:val="center"/>
        <w:rPr>
          <w:rFonts w:ascii="Times New Roman" w:hAnsi="Times New Roman" w:cs="Times New Roman"/>
          <w:sz w:val="24"/>
          <w:szCs w:val="24"/>
        </w:rPr>
      </w:pPr>
    </w:p>
    <w:p w:rsidR="00AF115E" w:rsidRDefault="00AF115E" w:rsidP="00AF11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Victimization </w:t>
      </w:r>
    </w:p>
    <w:p w:rsidR="00AF115E" w:rsidRDefault="00AF115E" w:rsidP="00AF11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115E" w:rsidRDefault="00AF115E" w:rsidP="00AF11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AF115E" w:rsidRDefault="00AF115E" w:rsidP="00AF115E">
      <w:pPr>
        <w:spacing w:line="480" w:lineRule="auto"/>
        <w:rPr>
          <w:rFonts w:ascii="Times New Roman" w:hAnsi="Times New Roman" w:cs="Times New Roman"/>
          <w:sz w:val="24"/>
          <w:szCs w:val="24"/>
        </w:rPr>
      </w:pPr>
    </w:p>
    <w:p w:rsidR="00160D7B" w:rsidRPr="00AF115E" w:rsidRDefault="001117A9" w:rsidP="00AF115E">
      <w:pPr>
        <w:spacing w:line="480" w:lineRule="auto"/>
        <w:jc w:val="center"/>
        <w:rPr>
          <w:rFonts w:ascii="Times New Roman" w:hAnsi="Times New Roman" w:cs="Times New Roman"/>
          <w:sz w:val="24"/>
          <w:szCs w:val="24"/>
        </w:rPr>
      </w:pPr>
      <w:r w:rsidRPr="00AF115E">
        <w:rPr>
          <w:rFonts w:ascii="Times New Roman" w:hAnsi="Times New Roman" w:cs="Times New Roman"/>
          <w:sz w:val="24"/>
          <w:szCs w:val="24"/>
        </w:rPr>
        <w:lastRenderedPageBreak/>
        <w:t>Victimization</w:t>
      </w:r>
    </w:p>
    <w:p w:rsidR="00AF115E" w:rsidRPr="00AF115E" w:rsidRDefault="00AF115E" w:rsidP="00AF115E">
      <w:pPr>
        <w:spacing w:line="480" w:lineRule="auto"/>
        <w:ind w:firstLine="720"/>
        <w:jc w:val="center"/>
        <w:rPr>
          <w:rFonts w:ascii="Times New Roman" w:hAnsi="Times New Roman" w:cs="Times New Roman"/>
          <w:b/>
          <w:sz w:val="24"/>
          <w:szCs w:val="24"/>
        </w:rPr>
      </w:pPr>
      <w:r w:rsidRPr="00AF115E">
        <w:rPr>
          <w:rFonts w:ascii="Times New Roman" w:hAnsi="Times New Roman" w:cs="Times New Roman"/>
          <w:b/>
          <w:sz w:val="24"/>
          <w:szCs w:val="24"/>
        </w:rPr>
        <w:t>Introduction</w:t>
      </w:r>
    </w:p>
    <w:p w:rsidR="00535850"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Victimization is the act of making someone unfairly suffer by not appreciating them, their opinions, or anything they have done. It can be experienced in several ways. Still, this paper will discuss the two, that is, elder abuse and domestic/relationship violence, their similarities, differences as well as how the similarities and differences discussed are affecting the efforts to reduce or prevent them. The fail</w:t>
      </w:r>
      <w:r w:rsidR="007F519A" w:rsidRPr="00AF115E">
        <w:rPr>
          <w:rFonts w:ascii="Times New Roman" w:hAnsi="Times New Roman" w:cs="Times New Roman"/>
          <w:sz w:val="24"/>
          <w:szCs w:val="24"/>
        </w:rPr>
        <w:t>ure to act or the deliberate action by the custodian</w:t>
      </w:r>
      <w:r w:rsidRPr="00AF115E">
        <w:rPr>
          <w:rFonts w:ascii="Times New Roman" w:hAnsi="Times New Roman" w:cs="Times New Roman"/>
          <w:sz w:val="24"/>
          <w:szCs w:val="24"/>
        </w:rPr>
        <w:t xml:space="preserve"> or another individual in a relat</w:t>
      </w:r>
      <w:r w:rsidR="007F519A" w:rsidRPr="00AF115E">
        <w:rPr>
          <w:rFonts w:ascii="Times New Roman" w:hAnsi="Times New Roman" w:cs="Times New Roman"/>
          <w:sz w:val="24"/>
          <w:szCs w:val="24"/>
        </w:rPr>
        <w:t>ionship entailing a presumption</w:t>
      </w:r>
      <w:r w:rsidR="00FA57DE" w:rsidRPr="00AF115E">
        <w:rPr>
          <w:rFonts w:ascii="Times New Roman" w:hAnsi="Times New Roman" w:cs="Times New Roman"/>
          <w:sz w:val="24"/>
          <w:szCs w:val="24"/>
        </w:rPr>
        <w:t xml:space="preserve"> that</w:t>
      </w:r>
      <w:r w:rsidRPr="00AF115E">
        <w:rPr>
          <w:rFonts w:ascii="Times New Roman" w:hAnsi="Times New Roman" w:cs="Times New Roman"/>
          <w:sz w:val="24"/>
          <w:szCs w:val="24"/>
        </w:rPr>
        <w:t xml:space="preserve"> results</w:t>
      </w:r>
      <w:r w:rsidR="007F519A" w:rsidRPr="00AF115E">
        <w:rPr>
          <w:rFonts w:ascii="Times New Roman" w:hAnsi="Times New Roman" w:cs="Times New Roman"/>
          <w:sz w:val="24"/>
          <w:szCs w:val="24"/>
        </w:rPr>
        <w:t xml:space="preserve"> in a risk of damage to a senior</w:t>
      </w:r>
      <w:r w:rsidRPr="00AF115E">
        <w:rPr>
          <w:rFonts w:ascii="Times New Roman" w:hAnsi="Times New Roman" w:cs="Times New Roman"/>
          <w:sz w:val="24"/>
          <w:szCs w:val="24"/>
        </w:rPr>
        <w:t xml:space="preserve"> is known as elder abuse. Domesti</w:t>
      </w:r>
      <w:r w:rsidR="007F519A" w:rsidRPr="00AF115E">
        <w:rPr>
          <w:rFonts w:ascii="Times New Roman" w:hAnsi="Times New Roman" w:cs="Times New Roman"/>
          <w:sz w:val="24"/>
          <w:szCs w:val="24"/>
        </w:rPr>
        <w:t xml:space="preserve">c violence, on the other hand, </w:t>
      </w:r>
      <w:r w:rsidRPr="00AF115E">
        <w:rPr>
          <w:rFonts w:ascii="Times New Roman" w:hAnsi="Times New Roman" w:cs="Times New Roman"/>
          <w:sz w:val="24"/>
          <w:szCs w:val="24"/>
        </w:rPr>
        <w:t>any attempt by one individual to control and dominate the other in an intimate relationship or marriage. Both elder abuse and domestic violence involve violent behavior between the offender and the victim</w:t>
      </w:r>
      <w:sdt>
        <w:sdtPr>
          <w:rPr>
            <w:rFonts w:ascii="Times New Roman" w:hAnsi="Times New Roman" w:cs="Times New Roman"/>
            <w:sz w:val="24"/>
            <w:szCs w:val="24"/>
          </w:rPr>
          <w:id w:val="-1276477604"/>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Coo11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(Cook et al., 2011)</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xml:space="preserve">. In most cases, shame, fear, intimidation, and guilt are used by the abuser to wear down the victim and keeping them under their thumb. The following are some of the similarities both types of victimization have in common. </w:t>
      </w:r>
    </w:p>
    <w:p w:rsidR="00535850" w:rsidRDefault="00535850" w:rsidP="00535850">
      <w:pPr>
        <w:spacing w:line="240" w:lineRule="auto"/>
        <w:ind w:firstLine="720"/>
        <w:rPr>
          <w:rFonts w:ascii="Times New Roman" w:hAnsi="Times New Roman" w:cs="Times New Roman"/>
          <w:sz w:val="24"/>
          <w:szCs w:val="24"/>
        </w:rPr>
      </w:pPr>
    </w:p>
    <w:p w:rsidR="00AF115E" w:rsidRPr="00AF115E" w:rsidRDefault="00AF115E" w:rsidP="00AF115E">
      <w:pPr>
        <w:spacing w:line="480" w:lineRule="auto"/>
        <w:ind w:firstLine="720"/>
        <w:jc w:val="center"/>
        <w:rPr>
          <w:rFonts w:ascii="Times New Roman" w:hAnsi="Times New Roman" w:cs="Times New Roman"/>
          <w:b/>
          <w:sz w:val="24"/>
          <w:szCs w:val="24"/>
        </w:rPr>
      </w:pPr>
      <w:r w:rsidRPr="00AF115E">
        <w:rPr>
          <w:rFonts w:ascii="Times New Roman" w:hAnsi="Times New Roman" w:cs="Times New Roman"/>
          <w:b/>
          <w:sz w:val="24"/>
          <w:szCs w:val="24"/>
        </w:rPr>
        <w:t>Similarities</w:t>
      </w:r>
    </w:p>
    <w:p w:rsidR="008471E1"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In both types of victimization, vulnerable groups are the most targeted victims for abuse; that is, those that are unable to defend themselves from abusive attacks. For instance, the elderly or people with old age are the most vulnerable for victimization in elder abuse. These groups of people are targeted most likely since they are, in most cases, isolated socially and follow predictable behavior patterns. Mental and physical weaknesses can also cause the vulnerability of a potential victim in this case due to old age. They become more mentally and physically frail as they grow old, hence become less able to fight back or stand up to bullying if attacked by other individuals</w:t>
      </w:r>
      <w:sdt>
        <w:sdtPr>
          <w:rPr>
            <w:rFonts w:ascii="Times New Roman" w:hAnsi="Times New Roman" w:cs="Times New Roman"/>
            <w:sz w:val="24"/>
            <w:szCs w:val="24"/>
          </w:rPr>
          <w:id w:val="2143220259"/>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Coo11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(Cook et al., 2011)</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Some claims also indicate the elderly become only vulnerable to abuse when they leave the protection of their homes, that is, no one has their interest at hand to protect them, and hence they become exposed to abusers. Elaborate fraud schemes or abuse targeting seniors have, therefore, been carried out by many ill intension people knowing the vulnerability of the elderly</w:t>
      </w:r>
      <w:sdt>
        <w:sdtPr>
          <w:rPr>
            <w:rFonts w:ascii="Times New Roman" w:hAnsi="Times New Roman" w:cs="Times New Roman"/>
            <w:sz w:val="24"/>
            <w:szCs w:val="24"/>
          </w:rPr>
          <w:id w:val="-1947063652"/>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Coo11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(Cook et al., 2011)</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xml:space="preserve">. Most women are vulnerable to abuse for the case of domestic violence simply because of the physical weaknesses they have compared to their spouses. They mostly end up </w:t>
      </w:r>
      <w:r w:rsidR="00FA57DE" w:rsidRPr="00AF115E">
        <w:rPr>
          <w:rFonts w:ascii="Times New Roman" w:hAnsi="Times New Roman" w:cs="Times New Roman"/>
          <w:sz w:val="24"/>
          <w:szCs w:val="24"/>
        </w:rPr>
        <w:t>being abused physically</w:t>
      </w:r>
      <w:r w:rsidRPr="00AF115E">
        <w:rPr>
          <w:rFonts w:ascii="Times New Roman" w:hAnsi="Times New Roman" w:cs="Times New Roman"/>
          <w:sz w:val="24"/>
          <w:szCs w:val="24"/>
        </w:rPr>
        <w:t>. While women are more likel</w:t>
      </w:r>
      <w:r w:rsidR="00FA57DE" w:rsidRPr="00AF115E">
        <w:rPr>
          <w:rFonts w:ascii="Times New Roman" w:hAnsi="Times New Roman" w:cs="Times New Roman"/>
          <w:sz w:val="24"/>
          <w:szCs w:val="24"/>
        </w:rPr>
        <w:t>y to be abused</w:t>
      </w:r>
      <w:r w:rsidRPr="00AF115E">
        <w:rPr>
          <w:rFonts w:ascii="Times New Roman" w:hAnsi="Times New Roman" w:cs="Times New Roman"/>
          <w:sz w:val="24"/>
          <w:szCs w:val="24"/>
        </w:rPr>
        <w:t>, men experience violence also, especially emotional and verbal abuse. Men can be vulnerable to violence when they feel they are inferior to their spouses or partners susceptible to women's attacks. Their self-confidence can be undermined in most cases by being criticized or insulted by their partners. Men often end up on the receiving end of psychological or emotional abuse.</w:t>
      </w:r>
    </w:p>
    <w:p w:rsidR="00535850" w:rsidRDefault="00535850" w:rsidP="00535850">
      <w:pPr>
        <w:spacing w:line="240" w:lineRule="auto"/>
        <w:ind w:firstLine="720"/>
        <w:rPr>
          <w:rFonts w:ascii="Times New Roman" w:hAnsi="Times New Roman" w:cs="Times New Roman"/>
          <w:sz w:val="24"/>
          <w:szCs w:val="24"/>
        </w:rPr>
      </w:pPr>
    </w:p>
    <w:p w:rsidR="00535850" w:rsidRPr="00AF115E" w:rsidRDefault="00535850" w:rsidP="00535850">
      <w:pPr>
        <w:spacing w:line="240" w:lineRule="auto"/>
        <w:ind w:firstLine="720"/>
        <w:rPr>
          <w:rFonts w:ascii="Times New Roman" w:hAnsi="Times New Roman" w:cs="Times New Roman"/>
          <w:sz w:val="24"/>
          <w:szCs w:val="24"/>
        </w:rPr>
      </w:pPr>
    </w:p>
    <w:p w:rsidR="00535850"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lastRenderedPageBreak/>
        <w:t xml:space="preserve">Neglect: Both involve </w:t>
      </w:r>
      <w:proofErr w:type="spellStart"/>
      <w:r w:rsidRPr="00AF115E">
        <w:rPr>
          <w:rFonts w:ascii="Times New Roman" w:hAnsi="Times New Roman" w:cs="Times New Roman"/>
          <w:sz w:val="24"/>
          <w:szCs w:val="24"/>
        </w:rPr>
        <w:t>neglection</w:t>
      </w:r>
      <w:proofErr w:type="spellEnd"/>
      <w:r w:rsidRPr="00AF115E">
        <w:rPr>
          <w:rFonts w:ascii="Times New Roman" w:hAnsi="Times New Roman" w:cs="Times New Roman"/>
          <w:sz w:val="24"/>
          <w:szCs w:val="24"/>
        </w:rPr>
        <w:t xml:space="preserve">, where the abused often suffers from </w:t>
      </w:r>
      <w:proofErr w:type="spellStart"/>
      <w:r w:rsidRPr="00AF115E">
        <w:rPr>
          <w:rFonts w:ascii="Times New Roman" w:hAnsi="Times New Roman" w:cs="Times New Roman"/>
          <w:sz w:val="24"/>
          <w:szCs w:val="24"/>
        </w:rPr>
        <w:t>neglection</w:t>
      </w:r>
      <w:proofErr w:type="spellEnd"/>
      <w:r w:rsidRPr="00AF115E">
        <w:rPr>
          <w:rFonts w:ascii="Times New Roman" w:hAnsi="Times New Roman" w:cs="Times New Roman"/>
          <w:sz w:val="24"/>
          <w:szCs w:val="24"/>
        </w:rPr>
        <w:t xml:space="preserve">. </w:t>
      </w:r>
      <w:proofErr w:type="spellStart"/>
      <w:r w:rsidRPr="00AF115E">
        <w:rPr>
          <w:rFonts w:ascii="Times New Roman" w:hAnsi="Times New Roman" w:cs="Times New Roman"/>
          <w:sz w:val="24"/>
          <w:szCs w:val="24"/>
        </w:rPr>
        <w:t>Neglection</w:t>
      </w:r>
      <w:proofErr w:type="spellEnd"/>
      <w:r w:rsidRPr="00AF115E">
        <w:rPr>
          <w:rFonts w:ascii="Times New Roman" w:hAnsi="Times New Roman" w:cs="Times New Roman"/>
          <w:sz w:val="24"/>
          <w:szCs w:val="24"/>
        </w:rPr>
        <w:t xml:space="preserve"> is the failure by a spouse in a relationship or caregiver to protect their partner or an elder respectively from harm or inability to meet essential needs for nutrition, medical care, clothing, hygiene, primary activities, hydration of living daily that may result in a severe health and safety risk that is compromised. This act can either be intentional or not depending on factors like ignorance or denial where a spouse partner or a senior requires as much care as they could</w:t>
      </w:r>
      <w:sdt>
        <w:sdtPr>
          <w:rPr>
            <w:rFonts w:ascii="Times New Roman" w:hAnsi="Times New Roman" w:cs="Times New Roman"/>
            <w:sz w:val="24"/>
            <w:szCs w:val="24"/>
          </w:rPr>
          <w:id w:val="1649319563"/>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Coo11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(Cook et al., 2011)</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xml:space="preserve">. For example, it may include not providing enough food, clothing, shelter, hygiene, or access to the necessary health care; or failure to protect against exposure to unsafe environments and activities. The caregiver may </w:t>
      </w:r>
      <w:r w:rsidR="00E57B91" w:rsidRPr="00AF115E">
        <w:rPr>
          <w:rFonts w:ascii="Times New Roman" w:hAnsi="Times New Roman" w:cs="Times New Roman"/>
          <w:sz w:val="24"/>
          <w:szCs w:val="24"/>
        </w:rPr>
        <w:t>ignore the senior by not providing</w:t>
      </w:r>
      <w:r w:rsidRPr="00AF115E">
        <w:rPr>
          <w:rFonts w:ascii="Times New Roman" w:hAnsi="Times New Roman" w:cs="Times New Roman"/>
          <w:sz w:val="24"/>
          <w:szCs w:val="24"/>
        </w:rPr>
        <w:t xml:space="preserve"> the essential needs for their upkeep, which causes harm for them. On the other hand, spouse partners as one of them are trying to take control over the other, he/she may end up refusing to meet the needs of his/her partner deliberately to punish them.</w:t>
      </w:r>
    </w:p>
    <w:p w:rsidR="00535850" w:rsidRPr="00AF115E" w:rsidRDefault="00535850" w:rsidP="00535850">
      <w:pPr>
        <w:spacing w:line="240" w:lineRule="auto"/>
        <w:ind w:firstLine="720"/>
        <w:rPr>
          <w:rFonts w:ascii="Times New Roman" w:hAnsi="Times New Roman" w:cs="Times New Roman"/>
          <w:sz w:val="24"/>
          <w:szCs w:val="24"/>
        </w:rPr>
      </w:pPr>
    </w:p>
    <w:p w:rsidR="00535850"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Both involve fin</w:t>
      </w:r>
      <w:r w:rsidR="00FA57DE" w:rsidRPr="00AF115E">
        <w:rPr>
          <w:rFonts w:ascii="Times New Roman" w:hAnsi="Times New Roman" w:cs="Times New Roman"/>
          <w:sz w:val="24"/>
          <w:szCs w:val="24"/>
        </w:rPr>
        <w:t>ancial exploitation: An inappropriate, unsuitable, or illegal use of a family member or the senior person’s resources by a trusting individual in a relationship or a caregiver, respectively, for another person’s benefits</w:t>
      </w:r>
      <w:r w:rsidRPr="00AF115E">
        <w:rPr>
          <w:rFonts w:ascii="Times New Roman" w:hAnsi="Times New Roman" w:cs="Times New Roman"/>
          <w:sz w:val="24"/>
          <w:szCs w:val="24"/>
        </w:rPr>
        <w:t xml:space="preserve"> other than a family member or the older individual. This includes denying someone of rightful information about, access to, personal interests, resources, use of, assets, or belongings</w:t>
      </w:r>
      <w:sdt>
        <w:sdtPr>
          <w:rPr>
            <w:rFonts w:ascii="Times New Roman" w:hAnsi="Times New Roman" w:cs="Times New Roman"/>
            <w:sz w:val="24"/>
            <w:szCs w:val="24"/>
          </w:rPr>
          <w:id w:val="1513024475"/>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Coo11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(Cook et al., 2011)</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For instance, it may include inappropriate use of power or guardianship of attorney, use of deception to surrender property or finances, or money or possession theft or misuse. The abused in both victimizations may also be exploited financially by not being allowed to spend money by the abuser unless permitted; told to be accounted for, for every pound spent; the abuser may also default payments purposefully, or running up huge bills in the abuser's name such credit cards. Caregivers or another individual in a relationship with the senior may limit their use of resources for their benefit as well. One of the members in a married relationship, on the other hand, may also restrict the others' use of funds for their benefit.</w:t>
      </w:r>
    </w:p>
    <w:p w:rsidR="00535850" w:rsidRPr="00AF115E" w:rsidRDefault="00535850" w:rsidP="00535850">
      <w:pPr>
        <w:spacing w:line="240" w:lineRule="auto"/>
        <w:ind w:firstLine="720"/>
        <w:rPr>
          <w:rFonts w:ascii="Times New Roman" w:hAnsi="Times New Roman" w:cs="Times New Roman"/>
          <w:sz w:val="24"/>
          <w:szCs w:val="24"/>
        </w:rPr>
      </w:pPr>
    </w:p>
    <w:p w:rsidR="008471E1" w:rsidRPr="00AF115E" w:rsidRDefault="008471E1" w:rsidP="00AF115E">
      <w:pPr>
        <w:spacing w:line="480" w:lineRule="auto"/>
        <w:jc w:val="center"/>
        <w:rPr>
          <w:rFonts w:ascii="Times New Roman" w:hAnsi="Times New Roman" w:cs="Times New Roman"/>
          <w:b/>
          <w:sz w:val="24"/>
          <w:szCs w:val="24"/>
        </w:rPr>
      </w:pPr>
      <w:r w:rsidRPr="00AF115E">
        <w:rPr>
          <w:rFonts w:ascii="Times New Roman" w:hAnsi="Times New Roman" w:cs="Times New Roman"/>
          <w:b/>
          <w:sz w:val="24"/>
          <w:szCs w:val="24"/>
        </w:rPr>
        <w:t>How the similarities above affect the efforts to reduce victimization</w:t>
      </w:r>
    </w:p>
    <w:p w:rsidR="008471E1" w:rsidRPr="00AF115E"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 xml:space="preserve">The susceptibility of older people from elder abuse and that of spouse partners from domestic violence plays a significant role in reducing the efforts to minimize or eliminate victimization. For instance, people aged 60 years and above have </w:t>
      </w:r>
      <w:r w:rsidR="000F4577" w:rsidRPr="00AF115E">
        <w:rPr>
          <w:rFonts w:ascii="Times New Roman" w:hAnsi="Times New Roman" w:cs="Times New Roman"/>
          <w:sz w:val="24"/>
          <w:szCs w:val="24"/>
        </w:rPr>
        <w:t>mental and physical weaknesses, which make</w:t>
      </w:r>
      <w:r w:rsidRPr="00AF115E">
        <w:rPr>
          <w:rFonts w:ascii="Times New Roman" w:hAnsi="Times New Roman" w:cs="Times New Roman"/>
          <w:sz w:val="24"/>
          <w:szCs w:val="24"/>
        </w:rPr>
        <w:t xml:space="preserve"> them vulnerable to attacks from ill intention individuals</w:t>
      </w:r>
      <w:sdt>
        <w:sdtPr>
          <w:rPr>
            <w:rFonts w:ascii="Times New Roman" w:hAnsi="Times New Roman" w:cs="Times New Roman"/>
            <w:sz w:val="24"/>
            <w:szCs w:val="24"/>
          </w:rPr>
          <w:id w:val="1373191883"/>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Bra12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(Brandl &amp; Raymond, 2012)</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With that in mind, they often become afraid to report victimization cases they experience to their friends, family, or the authorities due to the fear that they are ancient to do that. Also, people in intimate relationships may become afraid of reporting their spouses when they experience some domestic violence, with the reason being they are protecting their families. This, therefore, affects the efforts to reduce or prevent victimization.</w:t>
      </w:r>
    </w:p>
    <w:p w:rsidR="00535850" w:rsidRDefault="008471E1" w:rsidP="0053585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 xml:space="preserve">The deliberate failure to provide the essential needs by a caregiver or the controller in a marriage relationship to the senior or spouse partner, respectively, also affects the chances to reduce victimization. The affected party may feel ashamed of exposing their family life to the </w:t>
      </w:r>
      <w:r w:rsidRPr="00AF115E">
        <w:rPr>
          <w:rFonts w:ascii="Times New Roman" w:hAnsi="Times New Roman" w:cs="Times New Roman"/>
          <w:sz w:val="24"/>
          <w:szCs w:val="24"/>
        </w:rPr>
        <w:lastRenderedPageBreak/>
        <w:t>public due to fear of tarnishing the family name, which compromises the efforts to prevent victimization.</w:t>
      </w:r>
    </w:p>
    <w:p w:rsidR="00535850" w:rsidRPr="00AF115E" w:rsidRDefault="00535850" w:rsidP="00535850">
      <w:pPr>
        <w:spacing w:line="240" w:lineRule="auto"/>
        <w:ind w:firstLine="720"/>
        <w:rPr>
          <w:rFonts w:ascii="Times New Roman" w:hAnsi="Times New Roman" w:cs="Times New Roman"/>
          <w:sz w:val="24"/>
          <w:szCs w:val="24"/>
        </w:rPr>
      </w:pPr>
    </w:p>
    <w:p w:rsidR="00535850" w:rsidRDefault="008471E1" w:rsidP="00891FF0">
      <w:pPr>
        <w:spacing w:line="240" w:lineRule="auto"/>
        <w:ind w:firstLine="720"/>
        <w:rPr>
          <w:rFonts w:ascii="Times New Roman" w:hAnsi="Times New Roman" w:cs="Times New Roman"/>
          <w:sz w:val="24"/>
          <w:szCs w:val="24"/>
        </w:rPr>
      </w:pPr>
      <w:r w:rsidRPr="00AF115E">
        <w:rPr>
          <w:rFonts w:ascii="Times New Roman" w:hAnsi="Times New Roman" w:cs="Times New Roman"/>
          <w:sz w:val="24"/>
          <w:szCs w:val="24"/>
        </w:rPr>
        <w:t>The abuse of financial exploitation can also limit the chances of preventing the level of violence the seniors and the less vulnerable in marriage relationships have in many ways. Those affected by financial exploitation can become more susceptible to attacks since they lack resources to defend themselves hence become more intimidated</w:t>
      </w:r>
      <w:sdt>
        <w:sdtPr>
          <w:rPr>
            <w:rFonts w:ascii="Times New Roman" w:hAnsi="Times New Roman" w:cs="Times New Roman"/>
            <w:sz w:val="24"/>
            <w:szCs w:val="24"/>
          </w:rPr>
          <w:id w:val="-108817162"/>
          <w:citation/>
        </w:sdtPr>
        <w:sdtEndPr/>
        <w:sdtContent>
          <w:r w:rsidR="00E57B91" w:rsidRPr="00AF115E">
            <w:rPr>
              <w:rFonts w:ascii="Times New Roman" w:hAnsi="Times New Roman" w:cs="Times New Roman"/>
              <w:sz w:val="24"/>
              <w:szCs w:val="24"/>
            </w:rPr>
            <w:fldChar w:fldCharType="begin"/>
          </w:r>
          <w:r w:rsidR="00E57B91" w:rsidRPr="00AF115E">
            <w:rPr>
              <w:rFonts w:ascii="Times New Roman" w:hAnsi="Times New Roman" w:cs="Times New Roman"/>
              <w:sz w:val="24"/>
              <w:szCs w:val="24"/>
            </w:rPr>
            <w:instrText xml:space="preserve"> CITATION Bra12 \l 1033 </w:instrText>
          </w:r>
          <w:r w:rsidR="00E57B91" w:rsidRPr="00AF115E">
            <w:rPr>
              <w:rFonts w:ascii="Times New Roman" w:hAnsi="Times New Roman" w:cs="Times New Roman"/>
              <w:sz w:val="24"/>
              <w:szCs w:val="24"/>
            </w:rPr>
            <w:fldChar w:fldCharType="separate"/>
          </w:r>
          <w:r w:rsidR="00E57B91" w:rsidRPr="00AF115E">
            <w:rPr>
              <w:rFonts w:ascii="Times New Roman" w:hAnsi="Times New Roman" w:cs="Times New Roman"/>
              <w:noProof/>
              <w:sz w:val="24"/>
              <w:szCs w:val="24"/>
            </w:rPr>
            <w:t xml:space="preserve"> (Brandl &amp; Raymond, 2012)</w:t>
          </w:r>
          <w:r w:rsidR="00E57B91" w:rsidRPr="00AF115E">
            <w:rPr>
              <w:rFonts w:ascii="Times New Roman" w:hAnsi="Times New Roman" w:cs="Times New Roman"/>
              <w:sz w:val="24"/>
              <w:szCs w:val="24"/>
            </w:rPr>
            <w:fldChar w:fldCharType="end"/>
          </w:r>
        </w:sdtContent>
      </w:sdt>
      <w:r w:rsidRPr="00AF115E">
        <w:rPr>
          <w:rFonts w:ascii="Times New Roman" w:hAnsi="Times New Roman" w:cs="Times New Roman"/>
          <w:sz w:val="24"/>
          <w:szCs w:val="24"/>
        </w:rPr>
        <w:t>. Once they become afraid, they lack the confidence to retaliate and thus accept the situation as it is. They, therefore, refuse to report the abuse due to intimidation hence reducing the effort to prevent victimization.</w:t>
      </w:r>
    </w:p>
    <w:p w:rsidR="00AF115E" w:rsidRPr="00AF115E" w:rsidRDefault="00AF115E" w:rsidP="00AF115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Differences</w:t>
      </w:r>
    </w:p>
    <w:p w:rsidR="00AF115E" w:rsidRDefault="00AF115E" w:rsidP="00535850">
      <w:pPr>
        <w:pStyle w:val="NormalWeb"/>
        <w:spacing w:before="0" w:beforeAutospacing="0" w:after="0" w:afterAutospacing="0"/>
        <w:ind w:firstLine="720"/>
      </w:pPr>
      <w:r w:rsidRPr="00A231C3">
        <w:t xml:space="preserve">One of these differences is the risk factors of these two types of abuse. Domestic violence can be caused by social influences and other individual factors. Social influence, for example, cultural differences between the partners can enhance the issue </w:t>
      </w:r>
      <w:r>
        <w:t xml:space="preserve">of domestic violence </w:t>
      </w:r>
      <w:sdt>
        <w:sdtPr>
          <w:id w:val="1288235791"/>
          <w:citation/>
        </w:sdtPr>
        <w:sdtEndPr/>
        <w:sdtContent>
          <w:r>
            <w:fldChar w:fldCharType="begin"/>
          </w:r>
          <w:r>
            <w:instrText xml:space="preserve"> CITATION Pil16 \l 1033 </w:instrText>
          </w:r>
          <w:r>
            <w:fldChar w:fldCharType="separate"/>
          </w:r>
          <w:r>
            <w:rPr>
              <w:noProof/>
            </w:rPr>
            <w:t>(Pillemer,, 2016)</w:t>
          </w:r>
          <w:r>
            <w:fldChar w:fldCharType="end"/>
          </w:r>
        </w:sdtContent>
      </w:sdt>
      <w:r w:rsidRPr="00A231C3">
        <w:t>. For example, when an African marries a white person, there is likely to be a clash of culture between the two. This is so because Africans are conservative of their cultures, for example, the culture of women wearing long dresses as a sign of respect for their bodies. However, the whites’ culture allows women to wear short dresses even when they are visiting their in-laws. This can lead to a clash of culture between the partners which will lead to domestic violence. Also, individual factors such as drug abuse can enhance domestic violence. This is so because the partner under the influence of drugs will find it normal to physically assault the other partner. On the other hand, the risk factors for elder abuse include memory problems. Memory problems can perpetuate elder abuse because it makes people related to the elder person tired of reminding the elder person of the sam</w:t>
      </w:r>
      <w:r>
        <w:t>e things all the time</w:t>
      </w:r>
      <w:sdt>
        <w:sdtPr>
          <w:id w:val="-1904287005"/>
          <w:citation/>
        </w:sdtPr>
        <w:sdtEndPr/>
        <w:sdtContent>
          <w:r>
            <w:fldChar w:fldCharType="begin"/>
          </w:r>
          <w:r>
            <w:instrText xml:space="preserve"> CITATION Lac16 \l 1033 </w:instrText>
          </w:r>
          <w:r>
            <w:fldChar w:fldCharType="separate"/>
          </w:r>
          <w:r>
            <w:rPr>
              <w:noProof/>
            </w:rPr>
            <w:t xml:space="preserve"> (Lachs &amp; Pillemer, 2016)</w:t>
          </w:r>
          <w:r>
            <w:fldChar w:fldCharType="end"/>
          </w:r>
        </w:sdtContent>
      </w:sdt>
      <w:r w:rsidRPr="00A231C3">
        <w:t>. As a result of this, the people that the elder trusts such as family members will want to separate themselves from the elder person. When this happens, the elder person will be left alone without social support. Since social support is a major determinant of health, losing social support will negatively affect the health of this elder person in question.</w:t>
      </w:r>
    </w:p>
    <w:p w:rsidR="00535850" w:rsidRDefault="00535850" w:rsidP="00891FF0">
      <w:pPr>
        <w:pStyle w:val="NormalWeb"/>
        <w:spacing w:before="0" w:beforeAutospacing="0" w:after="0" w:afterAutospacing="0"/>
      </w:pPr>
    </w:p>
    <w:p w:rsidR="00535850" w:rsidRPr="00A231C3" w:rsidRDefault="00535850" w:rsidP="00535850">
      <w:pPr>
        <w:pStyle w:val="NormalWeb"/>
        <w:spacing w:before="0" w:beforeAutospacing="0" w:after="0" w:afterAutospacing="0"/>
        <w:ind w:firstLine="720"/>
      </w:pPr>
    </w:p>
    <w:p w:rsidR="00AF115E" w:rsidRPr="00A231C3" w:rsidRDefault="00AF115E" w:rsidP="00535850">
      <w:pPr>
        <w:pStyle w:val="NormalWeb"/>
        <w:spacing w:before="0" w:beforeAutospacing="0" w:after="0" w:afterAutospacing="0"/>
        <w:ind w:firstLine="720"/>
        <w:rPr>
          <w:rStyle w:val="Strong"/>
          <w:b w:val="0"/>
        </w:rPr>
      </w:pPr>
      <w:r>
        <w:rPr>
          <w:rStyle w:val="Strong"/>
          <w:b w:val="0"/>
        </w:rPr>
        <w:t>Another difference</w:t>
      </w:r>
      <w:r w:rsidRPr="00A231C3">
        <w:rPr>
          <w:rStyle w:val="Strong"/>
          <w:b w:val="0"/>
        </w:rPr>
        <w:t xml:space="preserve"> is the person involved in the abuse. Any person in a domestic setting regardless of their relationship, age or gender can be a victim of domestic violence. This is so because domestic violence can happen between intimate partners when one partner subjects another to any form of domestic violence. This can take place both in heterosexual or same-sex marriage relationships </w:t>
      </w:r>
      <w:sdt>
        <w:sdtPr>
          <w:rPr>
            <w:rStyle w:val="Strong"/>
            <w:b w:val="0"/>
          </w:rPr>
          <w:id w:val="-95021591"/>
          <w:citation/>
        </w:sdtPr>
        <w:sdtEndPr>
          <w:rPr>
            <w:rStyle w:val="Strong"/>
          </w:rPr>
        </w:sdtEndPr>
        <w:sdtContent>
          <w:r>
            <w:rPr>
              <w:rStyle w:val="Strong"/>
              <w:b w:val="0"/>
            </w:rPr>
            <w:fldChar w:fldCharType="begin"/>
          </w:r>
          <w:r>
            <w:instrText xml:space="preserve"> CITATION Bra12 \l 1033 </w:instrText>
          </w:r>
          <w:r>
            <w:rPr>
              <w:rStyle w:val="Strong"/>
              <w:b w:val="0"/>
            </w:rPr>
            <w:fldChar w:fldCharType="separate"/>
          </w:r>
          <w:r>
            <w:rPr>
              <w:noProof/>
            </w:rPr>
            <w:t>(Brandl &amp; Raymond, 2012)</w:t>
          </w:r>
          <w:r>
            <w:rPr>
              <w:rStyle w:val="Strong"/>
              <w:b w:val="0"/>
            </w:rPr>
            <w:fldChar w:fldCharType="end"/>
          </w:r>
        </w:sdtContent>
      </w:sdt>
      <w:r w:rsidRPr="00A231C3">
        <w:rPr>
          <w:rStyle w:val="Strong"/>
          <w:b w:val="0"/>
        </w:rPr>
        <w:t xml:space="preserve">. For example, the husband in a relationship regardless of his age can physically assault the wife at home because of the disagreement between them. The physical assault that is subjected to the wife, in this case, qualifies it to be called domestic violence. When these incidences happen in front of the children, the children also get stressed and as a result, they get mentally affected. This, therefore, means that anybody in a domestic setting can be subject to domestic violence. Also, the men are the people that most often carry out the abuse. However, when it comes to elder abuse, the victim must be more than 60 years of age for the abuse to qualify as elder abuse. Elder abuse can happen in a marriage when a spouse physically or emotionally assaults the other partner leading to harm on the partner </w:t>
      </w:r>
      <w:r w:rsidRPr="00A231C3">
        <w:rPr>
          <w:rStyle w:val="Strong"/>
          <w:b w:val="0"/>
        </w:rPr>
        <w:lastRenderedPageBreak/>
        <w:t xml:space="preserve">affected. However, even though the person causing the abuse can be of any age, the partner affected in that marriage must be over 60 years for it to be considered elder abuse. In Elder abuse the people who carry out the abuse are those around and in relationship with the victim. For example, it can be friends or family members. </w:t>
      </w:r>
    </w:p>
    <w:p w:rsidR="00AF115E" w:rsidRDefault="00AF115E" w:rsidP="00535850">
      <w:pPr>
        <w:pStyle w:val="NormalWeb"/>
        <w:spacing w:before="0" w:beforeAutospacing="0" w:after="0" w:afterAutospacing="0"/>
      </w:pPr>
    </w:p>
    <w:p w:rsidR="00535850" w:rsidRDefault="00535850" w:rsidP="00535850">
      <w:pPr>
        <w:pStyle w:val="NormalWeb"/>
        <w:spacing w:before="0" w:beforeAutospacing="0" w:after="0" w:afterAutospacing="0"/>
      </w:pPr>
    </w:p>
    <w:p w:rsidR="00535850" w:rsidRPr="00A231C3" w:rsidRDefault="00535850" w:rsidP="00535850">
      <w:pPr>
        <w:pStyle w:val="NormalWeb"/>
        <w:spacing w:before="0" w:beforeAutospacing="0" w:after="0" w:afterAutospacing="0"/>
      </w:pPr>
    </w:p>
    <w:p w:rsidR="00AF115E" w:rsidRDefault="00AF115E" w:rsidP="00535850">
      <w:pPr>
        <w:pStyle w:val="NormalWeb"/>
        <w:spacing w:before="0" w:beforeAutospacing="0" w:after="0" w:afterAutospacing="0"/>
        <w:ind w:firstLine="720"/>
      </w:pPr>
      <w:r w:rsidRPr="00A231C3">
        <w:t xml:space="preserve">Another difference is the prevention strategies employed to help the victims. In elder abuse, the major victims are people aged 60 and above. It’s believed that nurses and doctors, as well as other medical personnel, play a vital role in assisting elder abuse victims. The existing evidence has shown that on average, 13.9 visits are made by elderly individuals to the </w:t>
      </w:r>
      <w:r>
        <w:t>physicians every year</w:t>
      </w:r>
      <w:sdt>
        <w:sdtPr>
          <w:id w:val="1219327255"/>
          <w:citation/>
        </w:sdtPr>
        <w:sdtEndPr/>
        <w:sdtContent>
          <w:r>
            <w:fldChar w:fldCharType="begin"/>
          </w:r>
          <w:r>
            <w:instrText xml:space="preserve"> CITATION Lac16 \l 1033 </w:instrText>
          </w:r>
          <w:r>
            <w:fldChar w:fldCharType="separate"/>
          </w:r>
          <w:r>
            <w:rPr>
              <w:noProof/>
            </w:rPr>
            <w:t xml:space="preserve"> (Lachs &amp; Pillemer, 2016)</w:t>
          </w:r>
          <w:r>
            <w:fldChar w:fldCharType="end"/>
          </w:r>
        </w:sdtContent>
      </w:sdt>
      <w:r w:rsidRPr="00A231C3">
        <w:t>. However, physicians are reported to only report 2% of the elder</w:t>
      </w:r>
      <w:r>
        <w:t xml:space="preserve"> abuse that they come across</w:t>
      </w:r>
      <w:sdt>
        <w:sdtPr>
          <w:id w:val="-1578354000"/>
          <w:citation/>
        </w:sdtPr>
        <w:sdtEndPr/>
        <w:sdtContent>
          <w:r>
            <w:fldChar w:fldCharType="begin"/>
          </w:r>
          <w:r>
            <w:instrText xml:space="preserve"> CITATION Pil16 \l 1033 </w:instrText>
          </w:r>
          <w:r>
            <w:fldChar w:fldCharType="separate"/>
          </w:r>
          <w:r>
            <w:rPr>
              <w:noProof/>
            </w:rPr>
            <w:t xml:space="preserve"> (Pillemer,, 2016)</w:t>
          </w:r>
          <w:r>
            <w:fldChar w:fldCharType="end"/>
          </w:r>
        </w:sdtContent>
      </w:sdt>
      <w:r w:rsidRPr="00A231C3">
        <w:t>. The main reason given for lack of adequate reporting is said to inadequate knowledge on the laid down procedures of reporting the abuses on the part of the medical professionals. Therefore, adequate training of the medical professionals on proper procedures that they will take in case they witness abuse is the best strategy that has been proposed to address the issue of elder abuse. On the other hand, various strategies have been employed to prevent domestic violence. Since most of the affected victims in domestic violence are women, a proposal has been made to ensure that domestic violence falls under the scope of the law. This will involve modifying the existing laws that discriminate against women. This is so because the world health organization stipulates that when the law allows husbands to physically assault their wives, it will be difficult for the programs that have been developed to prevent domestic violence to be successful. Also, it has been proposed that marriage laws should be modified by the partners to ensure that women are also given a fair advantage in marriage. For example, women should also be allowed to enter and leave a marriage freely like men. Moreover, women should also be allowed to own property like men.</w:t>
      </w:r>
    </w:p>
    <w:p w:rsidR="00535850" w:rsidRDefault="00535850" w:rsidP="00535850">
      <w:pPr>
        <w:pStyle w:val="NormalWeb"/>
        <w:spacing w:before="0" w:beforeAutospacing="0" w:after="0" w:afterAutospacing="0"/>
        <w:ind w:firstLine="720"/>
      </w:pPr>
    </w:p>
    <w:p w:rsidR="00535850" w:rsidRPr="00A231C3" w:rsidRDefault="00535850" w:rsidP="00535850">
      <w:pPr>
        <w:pStyle w:val="NormalWeb"/>
        <w:spacing w:before="0" w:beforeAutospacing="0" w:after="0" w:afterAutospacing="0"/>
        <w:ind w:firstLine="720"/>
      </w:pPr>
    </w:p>
    <w:p w:rsidR="00AF115E" w:rsidRPr="00AF115E" w:rsidRDefault="00AF115E" w:rsidP="00AF115E">
      <w:pPr>
        <w:spacing w:line="480" w:lineRule="auto"/>
        <w:jc w:val="center"/>
        <w:rPr>
          <w:rFonts w:ascii="Times New Roman" w:hAnsi="Times New Roman" w:cs="Times New Roman"/>
          <w:b/>
          <w:sz w:val="24"/>
          <w:szCs w:val="24"/>
        </w:rPr>
      </w:pPr>
      <w:r w:rsidRPr="00AF115E">
        <w:rPr>
          <w:rFonts w:ascii="Times New Roman" w:hAnsi="Times New Roman" w:cs="Times New Roman"/>
          <w:b/>
          <w:sz w:val="24"/>
          <w:szCs w:val="24"/>
        </w:rPr>
        <w:t>How the similarities above affect the efforts to reduce victimization</w:t>
      </w:r>
    </w:p>
    <w:p w:rsidR="00AF115E" w:rsidRDefault="00AF115E" w:rsidP="00535850">
      <w:pPr>
        <w:pStyle w:val="NormalWeb"/>
        <w:spacing w:before="0" w:beforeAutospacing="0" w:after="0" w:afterAutospacing="0"/>
        <w:ind w:firstLine="720"/>
      </w:pPr>
      <w:r w:rsidRPr="00A231C3">
        <w:t>One of the ways that the differences affect the prevention efforts is through inequalities created when coming up with prevention strategies. In domestic violence, most of the victims are women. Therefore, it means that preventing domestic violence will involve creating laws that favor and empower women in society. But doing this will give women an unfair advantage in a marriage and the issue of domestic violence will not be addressed since men who have been subject to domestic violence will still be vulnerable to domestic violence. Similarly, the major victims of elder abuse are men and women above 60 years only. Thee efforts to prevent elder abuse will focus only to protect elder people. However, this does not solve the issue of abuse because many people below 60 years continue to be abused.</w:t>
      </w:r>
    </w:p>
    <w:p w:rsidR="00535850" w:rsidRDefault="00535850" w:rsidP="00535850">
      <w:pPr>
        <w:pStyle w:val="NormalWeb"/>
        <w:spacing w:before="0" w:beforeAutospacing="0" w:after="0" w:afterAutospacing="0"/>
        <w:ind w:firstLine="720"/>
      </w:pPr>
    </w:p>
    <w:p w:rsidR="00535850" w:rsidRDefault="00535850" w:rsidP="00535850">
      <w:pPr>
        <w:pStyle w:val="NormalWeb"/>
        <w:spacing w:before="0" w:beforeAutospacing="0" w:after="0" w:afterAutospacing="0"/>
        <w:ind w:firstLine="720"/>
      </w:pPr>
    </w:p>
    <w:p w:rsidR="00535850" w:rsidRPr="00A231C3" w:rsidRDefault="00535850" w:rsidP="00535850">
      <w:pPr>
        <w:pStyle w:val="NormalWeb"/>
        <w:spacing w:before="0" w:beforeAutospacing="0" w:after="0" w:afterAutospacing="0"/>
        <w:ind w:firstLine="720"/>
      </w:pPr>
    </w:p>
    <w:p w:rsidR="00AF115E" w:rsidRPr="00AF115E" w:rsidRDefault="00AF115E" w:rsidP="00535850">
      <w:pPr>
        <w:pStyle w:val="NormalWeb"/>
        <w:spacing w:before="0" w:beforeAutospacing="0" w:after="0" w:afterAutospacing="0"/>
        <w:ind w:firstLine="720"/>
      </w:pPr>
      <w:r w:rsidRPr="00A231C3">
        <w:t>Also, the risk factors for domestic violence and elder abuse are different. Preventing these types of abuses will mean that there is a need to address the risk factors of each abuse. Since the risk factors are different, it’s difficult to come up with uniform measures of addressing all these risk factors at once since they are complex.</w:t>
      </w:r>
      <w:r w:rsidR="00535850">
        <w:t xml:space="preserve"> Consequently,</w:t>
      </w:r>
      <w:r w:rsidRPr="00A231C3">
        <w:t xml:space="preserve"> the fact that in domestic </w:t>
      </w:r>
      <w:r w:rsidRPr="00A231C3">
        <w:lastRenderedPageBreak/>
        <w:t>violence the group of people affected can be anybody in a domestic setting including children and elderly while in elder abuse it’s only those people above 60 years make it complex to come up with solutions to these issues. This is so because while in domestic violence the efforts will be directed on preventing all the people including children who can be negatively affected by domestic violence, efforts should also be directed in coming up with strategies that protect elder people alone afterward.</w:t>
      </w: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535850" w:rsidRDefault="00535850" w:rsidP="00AF115E">
      <w:pPr>
        <w:spacing w:line="480" w:lineRule="auto"/>
        <w:jc w:val="center"/>
        <w:rPr>
          <w:rFonts w:ascii="Times New Roman" w:hAnsi="Times New Roman" w:cs="Times New Roman"/>
          <w:sz w:val="24"/>
          <w:szCs w:val="24"/>
        </w:rPr>
      </w:pPr>
    </w:p>
    <w:p w:rsidR="00891FF0" w:rsidRDefault="00891FF0" w:rsidP="00AF115E">
      <w:pPr>
        <w:spacing w:line="480" w:lineRule="auto"/>
        <w:jc w:val="center"/>
        <w:rPr>
          <w:rFonts w:ascii="Times New Roman" w:hAnsi="Times New Roman" w:cs="Times New Roman"/>
          <w:sz w:val="24"/>
          <w:szCs w:val="24"/>
        </w:rPr>
      </w:pPr>
    </w:p>
    <w:p w:rsidR="00891FF0" w:rsidRDefault="00891FF0" w:rsidP="00AF115E">
      <w:pPr>
        <w:spacing w:line="480" w:lineRule="auto"/>
        <w:jc w:val="center"/>
        <w:rPr>
          <w:rFonts w:ascii="Times New Roman" w:hAnsi="Times New Roman" w:cs="Times New Roman"/>
          <w:sz w:val="24"/>
          <w:szCs w:val="24"/>
        </w:rPr>
      </w:pPr>
    </w:p>
    <w:p w:rsidR="00E57B91" w:rsidRPr="00AF115E" w:rsidRDefault="00E57B91" w:rsidP="00AF115E">
      <w:pPr>
        <w:spacing w:line="480" w:lineRule="auto"/>
        <w:jc w:val="center"/>
        <w:rPr>
          <w:rFonts w:ascii="Times New Roman" w:hAnsi="Times New Roman" w:cs="Times New Roman"/>
          <w:sz w:val="24"/>
          <w:szCs w:val="24"/>
        </w:rPr>
      </w:pPr>
      <w:bookmarkStart w:id="0" w:name="_GoBack"/>
      <w:bookmarkEnd w:id="0"/>
      <w:r w:rsidRPr="00AF115E">
        <w:rPr>
          <w:rFonts w:ascii="Times New Roman" w:hAnsi="Times New Roman" w:cs="Times New Roman"/>
          <w:sz w:val="24"/>
          <w:szCs w:val="24"/>
        </w:rPr>
        <w:lastRenderedPageBreak/>
        <w:t>References</w:t>
      </w:r>
    </w:p>
    <w:p w:rsidR="00E57B91" w:rsidRPr="00AF115E" w:rsidRDefault="00E57B91" w:rsidP="00AF115E">
      <w:pPr>
        <w:spacing w:line="480" w:lineRule="auto"/>
        <w:rPr>
          <w:rFonts w:ascii="Times New Roman" w:hAnsi="Times New Roman" w:cs="Times New Roman"/>
          <w:sz w:val="24"/>
          <w:szCs w:val="24"/>
        </w:rPr>
      </w:pPr>
      <w:proofErr w:type="spellStart"/>
      <w:r w:rsidRPr="00AF115E">
        <w:rPr>
          <w:rFonts w:ascii="Times New Roman" w:hAnsi="Times New Roman" w:cs="Times New Roman"/>
          <w:sz w:val="24"/>
          <w:szCs w:val="24"/>
        </w:rPr>
        <w:t>Brandl</w:t>
      </w:r>
      <w:proofErr w:type="spellEnd"/>
      <w:r w:rsidRPr="00AF115E">
        <w:rPr>
          <w:rFonts w:ascii="Times New Roman" w:hAnsi="Times New Roman" w:cs="Times New Roman"/>
          <w:sz w:val="24"/>
          <w:szCs w:val="24"/>
        </w:rPr>
        <w:t>, B., &amp; Raymond, J. (2012). Policy implications of recognizing that caregiver stress is not the primary cause of elder abuse. Generations, 36(3), 32-39.</w:t>
      </w:r>
    </w:p>
    <w:p w:rsidR="00E57B91" w:rsidRPr="00AF115E" w:rsidRDefault="00E57B91" w:rsidP="00AF115E">
      <w:pPr>
        <w:spacing w:line="480" w:lineRule="auto"/>
        <w:rPr>
          <w:rFonts w:ascii="Times New Roman" w:hAnsi="Times New Roman" w:cs="Times New Roman"/>
          <w:sz w:val="24"/>
          <w:szCs w:val="24"/>
        </w:rPr>
      </w:pPr>
      <w:r w:rsidRPr="00AF115E">
        <w:rPr>
          <w:rFonts w:ascii="Times New Roman" w:hAnsi="Times New Roman" w:cs="Times New Roman"/>
          <w:sz w:val="24"/>
          <w:szCs w:val="24"/>
        </w:rPr>
        <w:t xml:space="preserve">Cook, J. M., </w:t>
      </w:r>
      <w:proofErr w:type="spellStart"/>
      <w:r w:rsidRPr="00AF115E">
        <w:rPr>
          <w:rFonts w:ascii="Times New Roman" w:hAnsi="Times New Roman" w:cs="Times New Roman"/>
          <w:sz w:val="24"/>
          <w:szCs w:val="24"/>
        </w:rPr>
        <w:t>Dinnen</w:t>
      </w:r>
      <w:proofErr w:type="spellEnd"/>
      <w:r w:rsidRPr="00AF115E">
        <w:rPr>
          <w:rFonts w:ascii="Times New Roman" w:hAnsi="Times New Roman" w:cs="Times New Roman"/>
          <w:sz w:val="24"/>
          <w:szCs w:val="24"/>
        </w:rPr>
        <w:t>, S., &amp; O'Donnell, C. (2011). Older women survivors of physical and sexual violence: a systematic review of the quantitative literature. Journal of Women's Health, 20(7), 1075-1081.</w:t>
      </w:r>
    </w:p>
    <w:p w:rsidR="00AF115E" w:rsidRDefault="00AF115E" w:rsidP="00AF115E">
      <w:pPr>
        <w:spacing w:line="480" w:lineRule="auto"/>
        <w:ind w:left="720" w:hanging="720"/>
        <w:rPr>
          <w:rFonts w:ascii="Times New Roman" w:hAnsi="Times New Roman" w:cs="Times New Roman"/>
          <w:sz w:val="24"/>
          <w:szCs w:val="24"/>
          <w:shd w:val="clear" w:color="auto" w:fill="FFFFFF"/>
        </w:rPr>
      </w:pPr>
      <w:proofErr w:type="spellStart"/>
      <w:r w:rsidRPr="00AF115E">
        <w:rPr>
          <w:rFonts w:ascii="Times New Roman" w:hAnsi="Times New Roman" w:cs="Times New Roman"/>
          <w:sz w:val="24"/>
          <w:szCs w:val="24"/>
          <w:shd w:val="clear" w:color="auto" w:fill="FFFFFF"/>
        </w:rPr>
        <w:t>Lachs</w:t>
      </w:r>
      <w:proofErr w:type="spellEnd"/>
      <w:r w:rsidRPr="00AF115E">
        <w:rPr>
          <w:rFonts w:ascii="Times New Roman" w:hAnsi="Times New Roman" w:cs="Times New Roman"/>
          <w:sz w:val="24"/>
          <w:szCs w:val="24"/>
          <w:shd w:val="clear" w:color="auto" w:fill="FFFFFF"/>
        </w:rPr>
        <w:t xml:space="preserve">, M. S., &amp; </w:t>
      </w:r>
      <w:proofErr w:type="spellStart"/>
      <w:r w:rsidRPr="00AF115E">
        <w:rPr>
          <w:rFonts w:ascii="Times New Roman" w:hAnsi="Times New Roman" w:cs="Times New Roman"/>
          <w:sz w:val="24"/>
          <w:szCs w:val="24"/>
          <w:shd w:val="clear" w:color="auto" w:fill="FFFFFF"/>
        </w:rPr>
        <w:t>Pillemer</w:t>
      </w:r>
      <w:proofErr w:type="spellEnd"/>
      <w:r w:rsidRPr="00AF115E">
        <w:rPr>
          <w:rFonts w:ascii="Times New Roman" w:hAnsi="Times New Roman" w:cs="Times New Roman"/>
          <w:sz w:val="24"/>
          <w:szCs w:val="24"/>
          <w:shd w:val="clear" w:color="auto" w:fill="FFFFFF"/>
        </w:rPr>
        <w:t>, K. A. (2015). Elder abuse. </w:t>
      </w:r>
      <w:r w:rsidRPr="00AF115E">
        <w:rPr>
          <w:rFonts w:ascii="Times New Roman" w:hAnsi="Times New Roman" w:cs="Times New Roman"/>
          <w:i/>
          <w:iCs/>
          <w:sz w:val="24"/>
          <w:szCs w:val="24"/>
          <w:shd w:val="clear" w:color="auto" w:fill="FFFFFF"/>
        </w:rPr>
        <w:t>New England Journal of Medicine</w:t>
      </w:r>
      <w:r w:rsidRPr="00AF115E">
        <w:rPr>
          <w:rFonts w:ascii="Times New Roman" w:hAnsi="Times New Roman" w:cs="Times New Roman"/>
          <w:sz w:val="24"/>
          <w:szCs w:val="24"/>
          <w:shd w:val="clear" w:color="auto" w:fill="FFFFFF"/>
        </w:rPr>
        <w:t>, </w:t>
      </w:r>
      <w:r w:rsidRPr="00AF115E">
        <w:rPr>
          <w:rFonts w:ascii="Times New Roman" w:hAnsi="Times New Roman" w:cs="Times New Roman"/>
          <w:i/>
          <w:iCs/>
          <w:sz w:val="24"/>
          <w:szCs w:val="24"/>
          <w:shd w:val="clear" w:color="auto" w:fill="FFFFFF"/>
        </w:rPr>
        <w:t>373</w:t>
      </w:r>
      <w:r w:rsidRPr="00AF115E">
        <w:rPr>
          <w:rFonts w:ascii="Times New Roman" w:hAnsi="Times New Roman" w:cs="Times New Roman"/>
          <w:sz w:val="24"/>
          <w:szCs w:val="24"/>
          <w:shd w:val="clear" w:color="auto" w:fill="FFFFFF"/>
        </w:rPr>
        <w:t xml:space="preserve">(20), 1947-195 </w:t>
      </w:r>
      <w:proofErr w:type="spellStart"/>
      <w:r w:rsidRPr="00AF115E">
        <w:rPr>
          <w:rFonts w:ascii="Times New Roman" w:hAnsi="Times New Roman" w:cs="Times New Roman"/>
          <w:sz w:val="24"/>
          <w:szCs w:val="24"/>
          <w:shd w:val="clear" w:color="auto" w:fill="FFFFFF"/>
        </w:rPr>
        <w:t>Pillemer</w:t>
      </w:r>
      <w:proofErr w:type="spellEnd"/>
      <w:r w:rsidRPr="00AF115E">
        <w:rPr>
          <w:rFonts w:ascii="Times New Roman" w:hAnsi="Times New Roman" w:cs="Times New Roman"/>
          <w:sz w:val="24"/>
          <w:szCs w:val="24"/>
          <w:shd w:val="clear" w:color="auto" w:fill="FFFFFF"/>
        </w:rPr>
        <w:t xml:space="preserve">, K., </w:t>
      </w:r>
      <w:proofErr w:type="spellStart"/>
      <w:r w:rsidRPr="00AF115E">
        <w:rPr>
          <w:rFonts w:ascii="Times New Roman" w:hAnsi="Times New Roman" w:cs="Times New Roman"/>
          <w:sz w:val="24"/>
          <w:szCs w:val="24"/>
          <w:shd w:val="clear" w:color="auto" w:fill="FFFFFF"/>
        </w:rPr>
        <w:t>Burnes</w:t>
      </w:r>
      <w:proofErr w:type="spellEnd"/>
      <w:r w:rsidRPr="00AF115E">
        <w:rPr>
          <w:rFonts w:ascii="Times New Roman" w:hAnsi="Times New Roman" w:cs="Times New Roman"/>
          <w:sz w:val="24"/>
          <w:szCs w:val="24"/>
          <w:shd w:val="clear" w:color="auto" w:fill="FFFFFF"/>
        </w:rPr>
        <w:t xml:space="preserve">, D., </w:t>
      </w:r>
      <w:proofErr w:type="spellStart"/>
      <w:r w:rsidRPr="00AF115E">
        <w:rPr>
          <w:rFonts w:ascii="Times New Roman" w:hAnsi="Times New Roman" w:cs="Times New Roman"/>
          <w:sz w:val="24"/>
          <w:szCs w:val="24"/>
          <w:shd w:val="clear" w:color="auto" w:fill="FFFFFF"/>
        </w:rPr>
        <w:t>Riffin</w:t>
      </w:r>
      <w:proofErr w:type="spellEnd"/>
      <w:r w:rsidRPr="00AF115E">
        <w:rPr>
          <w:rFonts w:ascii="Times New Roman" w:hAnsi="Times New Roman" w:cs="Times New Roman"/>
          <w:sz w:val="24"/>
          <w:szCs w:val="24"/>
          <w:shd w:val="clear" w:color="auto" w:fill="FFFFFF"/>
        </w:rPr>
        <w:t xml:space="preserve">, C., &amp; </w:t>
      </w:r>
      <w:proofErr w:type="spellStart"/>
      <w:r w:rsidRPr="00AF115E">
        <w:rPr>
          <w:rFonts w:ascii="Times New Roman" w:hAnsi="Times New Roman" w:cs="Times New Roman"/>
          <w:sz w:val="24"/>
          <w:szCs w:val="24"/>
          <w:shd w:val="clear" w:color="auto" w:fill="FFFFFF"/>
        </w:rPr>
        <w:t>Lachs</w:t>
      </w:r>
      <w:proofErr w:type="spellEnd"/>
      <w:r w:rsidRPr="00AF115E">
        <w:rPr>
          <w:rFonts w:ascii="Times New Roman" w:hAnsi="Times New Roman" w:cs="Times New Roman"/>
          <w:sz w:val="24"/>
          <w:szCs w:val="24"/>
          <w:shd w:val="clear" w:color="auto" w:fill="FFFFFF"/>
        </w:rPr>
        <w:t>, M. S. (2016). Elder abuse: global situation, risk factors, and prevention strategies. </w:t>
      </w:r>
      <w:r w:rsidRPr="00AF115E">
        <w:rPr>
          <w:rFonts w:ascii="Times New Roman" w:hAnsi="Times New Roman" w:cs="Times New Roman"/>
          <w:i/>
          <w:iCs/>
          <w:sz w:val="24"/>
          <w:szCs w:val="24"/>
          <w:shd w:val="clear" w:color="auto" w:fill="FFFFFF"/>
        </w:rPr>
        <w:t>The Gerontologist</w:t>
      </w:r>
      <w:r w:rsidRPr="00AF115E">
        <w:rPr>
          <w:rFonts w:ascii="Times New Roman" w:hAnsi="Times New Roman" w:cs="Times New Roman"/>
          <w:sz w:val="24"/>
          <w:szCs w:val="24"/>
          <w:shd w:val="clear" w:color="auto" w:fill="FFFFFF"/>
        </w:rPr>
        <w:t>, </w:t>
      </w:r>
      <w:r w:rsidRPr="00AF115E">
        <w:rPr>
          <w:rFonts w:ascii="Times New Roman" w:hAnsi="Times New Roman" w:cs="Times New Roman"/>
          <w:i/>
          <w:iCs/>
          <w:sz w:val="24"/>
          <w:szCs w:val="24"/>
          <w:shd w:val="clear" w:color="auto" w:fill="FFFFFF"/>
        </w:rPr>
        <w:t>56</w:t>
      </w:r>
      <w:r w:rsidRPr="00AF115E">
        <w:rPr>
          <w:rFonts w:ascii="Times New Roman" w:hAnsi="Times New Roman" w:cs="Times New Roman"/>
          <w:sz w:val="24"/>
          <w:szCs w:val="24"/>
          <w:shd w:val="clear" w:color="auto" w:fill="FFFFFF"/>
        </w:rPr>
        <w:t>(Suppl_2), S194-S205.6.</w:t>
      </w:r>
    </w:p>
    <w:p w:rsidR="00AF115E" w:rsidRPr="00AF115E" w:rsidRDefault="00AF115E" w:rsidP="00AF115E">
      <w:pPr>
        <w:spacing w:line="480" w:lineRule="auto"/>
        <w:ind w:left="720" w:hanging="720"/>
        <w:rPr>
          <w:rFonts w:ascii="Times New Roman" w:hAnsi="Times New Roman" w:cs="Times New Roman"/>
          <w:sz w:val="24"/>
          <w:szCs w:val="24"/>
          <w:shd w:val="clear" w:color="auto" w:fill="FFFFFF"/>
        </w:rPr>
      </w:pPr>
      <w:proofErr w:type="spellStart"/>
      <w:r>
        <w:rPr>
          <w:rFonts w:ascii="Arial" w:hAnsi="Arial" w:cs="Arial"/>
          <w:color w:val="222222"/>
          <w:sz w:val="20"/>
          <w:szCs w:val="20"/>
          <w:shd w:val="clear" w:color="auto" w:fill="FFFFFF"/>
        </w:rPr>
        <w:t>Pillemer</w:t>
      </w:r>
      <w:proofErr w:type="spellEnd"/>
      <w:r>
        <w:rPr>
          <w:rFonts w:ascii="Arial" w:hAnsi="Arial" w:cs="Arial"/>
          <w:color w:val="222222"/>
          <w:sz w:val="20"/>
          <w:szCs w:val="20"/>
          <w:shd w:val="clear" w:color="auto" w:fill="FFFFFF"/>
        </w:rPr>
        <w:t xml:space="preserve">, K., </w:t>
      </w:r>
      <w:proofErr w:type="spellStart"/>
      <w:r>
        <w:rPr>
          <w:rFonts w:ascii="Arial" w:hAnsi="Arial" w:cs="Arial"/>
          <w:color w:val="222222"/>
          <w:sz w:val="20"/>
          <w:szCs w:val="20"/>
          <w:shd w:val="clear" w:color="auto" w:fill="FFFFFF"/>
        </w:rPr>
        <w:t>Burnes</w:t>
      </w:r>
      <w:proofErr w:type="spellEnd"/>
      <w:r>
        <w:rPr>
          <w:rFonts w:ascii="Arial" w:hAnsi="Arial" w:cs="Arial"/>
          <w:color w:val="222222"/>
          <w:sz w:val="20"/>
          <w:szCs w:val="20"/>
          <w:shd w:val="clear" w:color="auto" w:fill="FFFFFF"/>
        </w:rPr>
        <w:t xml:space="preserve">, D., </w:t>
      </w:r>
      <w:proofErr w:type="spellStart"/>
      <w:r>
        <w:rPr>
          <w:rFonts w:ascii="Arial" w:hAnsi="Arial" w:cs="Arial"/>
          <w:color w:val="222222"/>
          <w:sz w:val="20"/>
          <w:szCs w:val="20"/>
          <w:shd w:val="clear" w:color="auto" w:fill="FFFFFF"/>
        </w:rPr>
        <w:t>Riffin</w:t>
      </w:r>
      <w:proofErr w:type="spellEnd"/>
      <w:r>
        <w:rPr>
          <w:rFonts w:ascii="Arial" w:hAnsi="Arial" w:cs="Arial"/>
          <w:color w:val="222222"/>
          <w:sz w:val="20"/>
          <w:szCs w:val="20"/>
          <w:shd w:val="clear" w:color="auto" w:fill="FFFFFF"/>
        </w:rPr>
        <w:t xml:space="preserve">, C., &amp; </w:t>
      </w:r>
      <w:proofErr w:type="spellStart"/>
      <w:r>
        <w:rPr>
          <w:rFonts w:ascii="Arial" w:hAnsi="Arial" w:cs="Arial"/>
          <w:color w:val="222222"/>
          <w:sz w:val="20"/>
          <w:szCs w:val="20"/>
          <w:shd w:val="clear" w:color="auto" w:fill="FFFFFF"/>
        </w:rPr>
        <w:t>Lachs</w:t>
      </w:r>
      <w:proofErr w:type="spellEnd"/>
      <w:r>
        <w:rPr>
          <w:rFonts w:ascii="Arial" w:hAnsi="Arial" w:cs="Arial"/>
          <w:color w:val="222222"/>
          <w:sz w:val="20"/>
          <w:szCs w:val="20"/>
          <w:shd w:val="clear" w:color="auto" w:fill="FFFFFF"/>
        </w:rPr>
        <w:t>, M. S. (2016). Elder abuse: global situation, risk factors, and prevention strategies. </w:t>
      </w:r>
      <w:r>
        <w:rPr>
          <w:rFonts w:ascii="Arial" w:hAnsi="Arial" w:cs="Arial"/>
          <w:i/>
          <w:iCs/>
          <w:color w:val="222222"/>
          <w:sz w:val="20"/>
          <w:szCs w:val="20"/>
          <w:shd w:val="clear" w:color="auto" w:fill="FFFFFF"/>
        </w:rPr>
        <w:t>The Gerontologist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56</w:t>
      </w:r>
      <w:r>
        <w:rPr>
          <w:rFonts w:ascii="Arial" w:hAnsi="Arial" w:cs="Arial"/>
          <w:color w:val="222222"/>
          <w:sz w:val="20"/>
          <w:szCs w:val="20"/>
          <w:shd w:val="clear" w:color="auto" w:fill="FFFFFF"/>
        </w:rPr>
        <w:t>(Suppl_2), S194-S205.</w:t>
      </w:r>
    </w:p>
    <w:p w:rsidR="00AF115E" w:rsidRPr="00AF115E" w:rsidRDefault="00AF115E" w:rsidP="00AF115E">
      <w:pPr>
        <w:spacing w:line="480" w:lineRule="auto"/>
        <w:rPr>
          <w:rFonts w:ascii="Times New Roman" w:hAnsi="Times New Roman" w:cs="Times New Roman"/>
          <w:sz w:val="24"/>
          <w:szCs w:val="24"/>
        </w:rPr>
      </w:pPr>
    </w:p>
    <w:sectPr w:rsidR="00AF115E" w:rsidRPr="00AF115E" w:rsidSect="00AF11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7F0" w:rsidRDefault="005D77F0" w:rsidP="00AF115E">
      <w:pPr>
        <w:spacing w:after="0" w:line="240" w:lineRule="auto"/>
      </w:pPr>
      <w:r>
        <w:separator/>
      </w:r>
    </w:p>
  </w:endnote>
  <w:endnote w:type="continuationSeparator" w:id="0">
    <w:p w:rsidR="005D77F0" w:rsidRDefault="005D77F0" w:rsidP="00AF1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7F0" w:rsidRDefault="005D77F0" w:rsidP="00AF115E">
      <w:pPr>
        <w:spacing w:after="0" w:line="240" w:lineRule="auto"/>
      </w:pPr>
      <w:r>
        <w:separator/>
      </w:r>
    </w:p>
  </w:footnote>
  <w:footnote w:type="continuationSeparator" w:id="0">
    <w:p w:rsidR="005D77F0" w:rsidRDefault="005D77F0" w:rsidP="00AF1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15E" w:rsidRDefault="00AF115E">
    <w:pPr>
      <w:pStyle w:val="Header"/>
      <w:jc w:val="right"/>
    </w:pPr>
    <w:r>
      <w:t>VICTIMIZATION</w:t>
    </w:r>
    <w:r>
      <w:tab/>
    </w:r>
    <w:r>
      <w:tab/>
    </w:r>
    <w:sdt>
      <w:sdtPr>
        <w:id w:val="-4574123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1FF0">
          <w:rPr>
            <w:noProof/>
          </w:rPr>
          <w:t>7</w:t>
        </w:r>
        <w:r>
          <w:rPr>
            <w:noProof/>
          </w:rPr>
          <w:fldChar w:fldCharType="end"/>
        </w:r>
      </w:sdtContent>
    </w:sdt>
  </w:p>
  <w:p w:rsidR="00AF115E" w:rsidRDefault="00AF11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15E" w:rsidRPr="00AF115E" w:rsidRDefault="00AF115E" w:rsidP="00AF115E">
    <w:pPr>
      <w:pStyle w:val="Header"/>
      <w:spacing w:line="480" w:lineRule="auto"/>
      <w:rPr>
        <w:rFonts w:ascii="Times New Roman" w:hAnsi="Times New Roman" w:cs="Times New Roman"/>
        <w:sz w:val="24"/>
        <w:szCs w:val="24"/>
      </w:rPr>
    </w:pPr>
    <w:r w:rsidRPr="00AF115E">
      <w:rPr>
        <w:rFonts w:ascii="Times New Roman" w:hAnsi="Times New Roman" w:cs="Times New Roman"/>
        <w:sz w:val="24"/>
        <w:szCs w:val="24"/>
      </w:rPr>
      <w:t>VICTIMIZATION</w:t>
    </w:r>
    <w:r w:rsidRPr="00AF115E">
      <w:rPr>
        <w:rFonts w:ascii="Times New Roman" w:hAnsi="Times New Roman" w:cs="Times New Roman"/>
        <w:sz w:val="24"/>
        <w:szCs w:val="24"/>
      </w:rPr>
      <w:tab/>
    </w:r>
    <w:r w:rsidRPr="00AF115E">
      <w:rPr>
        <w:rFonts w:ascii="Times New Roman" w:hAnsi="Times New Roman" w:cs="Times New Roman"/>
        <w:sz w:val="24"/>
        <w:szCs w:val="24"/>
      </w:rPr>
      <w:tab/>
    </w:r>
    <w:sdt>
      <w:sdtPr>
        <w:rPr>
          <w:rFonts w:ascii="Times New Roman" w:hAnsi="Times New Roman" w:cs="Times New Roman"/>
          <w:sz w:val="24"/>
          <w:szCs w:val="24"/>
        </w:rPr>
        <w:id w:val="1770355668"/>
        <w:docPartObj>
          <w:docPartGallery w:val="Page Numbers (Top of Page)"/>
          <w:docPartUnique/>
        </w:docPartObj>
      </w:sdtPr>
      <w:sdtEndPr>
        <w:rPr>
          <w:noProof/>
        </w:rPr>
      </w:sdtEndPr>
      <w:sdtContent>
        <w:r w:rsidRPr="00AF115E">
          <w:rPr>
            <w:rFonts w:ascii="Times New Roman" w:hAnsi="Times New Roman" w:cs="Times New Roman"/>
            <w:sz w:val="24"/>
            <w:szCs w:val="24"/>
          </w:rPr>
          <w:fldChar w:fldCharType="begin"/>
        </w:r>
        <w:r w:rsidRPr="00AF115E">
          <w:rPr>
            <w:rFonts w:ascii="Times New Roman" w:hAnsi="Times New Roman" w:cs="Times New Roman"/>
            <w:sz w:val="24"/>
            <w:szCs w:val="24"/>
          </w:rPr>
          <w:instrText xml:space="preserve"> PAGE   \* MERGEFORMAT </w:instrText>
        </w:r>
        <w:r w:rsidRPr="00AF115E">
          <w:rPr>
            <w:rFonts w:ascii="Times New Roman" w:hAnsi="Times New Roman" w:cs="Times New Roman"/>
            <w:sz w:val="24"/>
            <w:szCs w:val="24"/>
          </w:rPr>
          <w:fldChar w:fldCharType="separate"/>
        </w:r>
        <w:r w:rsidR="00891FF0">
          <w:rPr>
            <w:rFonts w:ascii="Times New Roman" w:hAnsi="Times New Roman" w:cs="Times New Roman"/>
            <w:noProof/>
            <w:sz w:val="24"/>
            <w:szCs w:val="24"/>
          </w:rPr>
          <w:t>1</w:t>
        </w:r>
        <w:r w:rsidRPr="00AF115E">
          <w:rPr>
            <w:rFonts w:ascii="Times New Roman" w:hAnsi="Times New Roman" w:cs="Times New Roman"/>
            <w:noProof/>
            <w:sz w:val="24"/>
            <w:szCs w:val="24"/>
          </w:rPr>
          <w:fldChar w:fldCharType="end"/>
        </w:r>
      </w:sdtContent>
    </w:sdt>
  </w:p>
  <w:p w:rsidR="00AF115E" w:rsidRPr="00AF115E" w:rsidRDefault="00AF115E" w:rsidP="00AF115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7A9"/>
    <w:rsid w:val="000705BB"/>
    <w:rsid w:val="000F4577"/>
    <w:rsid w:val="00106B9F"/>
    <w:rsid w:val="001117A9"/>
    <w:rsid w:val="00140811"/>
    <w:rsid w:val="00160D7B"/>
    <w:rsid w:val="00177496"/>
    <w:rsid w:val="001D6861"/>
    <w:rsid w:val="00303485"/>
    <w:rsid w:val="003C638F"/>
    <w:rsid w:val="003E13E1"/>
    <w:rsid w:val="00402530"/>
    <w:rsid w:val="00535850"/>
    <w:rsid w:val="005608C9"/>
    <w:rsid w:val="005D77F0"/>
    <w:rsid w:val="006023D2"/>
    <w:rsid w:val="00633500"/>
    <w:rsid w:val="007F519A"/>
    <w:rsid w:val="008471E1"/>
    <w:rsid w:val="00891FF0"/>
    <w:rsid w:val="008B3A4C"/>
    <w:rsid w:val="008B497A"/>
    <w:rsid w:val="00966D3D"/>
    <w:rsid w:val="00A32FAD"/>
    <w:rsid w:val="00A92E3F"/>
    <w:rsid w:val="00AF115E"/>
    <w:rsid w:val="00C1308D"/>
    <w:rsid w:val="00C5113C"/>
    <w:rsid w:val="00C96605"/>
    <w:rsid w:val="00E229B1"/>
    <w:rsid w:val="00E57B91"/>
    <w:rsid w:val="00EF5F8B"/>
    <w:rsid w:val="00FA5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B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91"/>
    <w:rPr>
      <w:rFonts w:ascii="Tahoma" w:hAnsi="Tahoma" w:cs="Tahoma"/>
      <w:sz w:val="16"/>
      <w:szCs w:val="16"/>
    </w:rPr>
  </w:style>
  <w:style w:type="paragraph" w:styleId="Header">
    <w:name w:val="header"/>
    <w:basedOn w:val="Normal"/>
    <w:link w:val="HeaderChar"/>
    <w:uiPriority w:val="99"/>
    <w:unhideWhenUsed/>
    <w:rsid w:val="00AF1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15E"/>
  </w:style>
  <w:style w:type="paragraph" w:styleId="Footer">
    <w:name w:val="footer"/>
    <w:basedOn w:val="Normal"/>
    <w:link w:val="FooterChar"/>
    <w:uiPriority w:val="99"/>
    <w:unhideWhenUsed/>
    <w:rsid w:val="00AF1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15E"/>
  </w:style>
  <w:style w:type="paragraph" w:styleId="NormalWeb">
    <w:name w:val="Normal (Web)"/>
    <w:basedOn w:val="Normal"/>
    <w:uiPriority w:val="99"/>
    <w:unhideWhenUsed/>
    <w:rsid w:val="00AF11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11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B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91"/>
    <w:rPr>
      <w:rFonts w:ascii="Tahoma" w:hAnsi="Tahoma" w:cs="Tahoma"/>
      <w:sz w:val="16"/>
      <w:szCs w:val="16"/>
    </w:rPr>
  </w:style>
  <w:style w:type="paragraph" w:styleId="Header">
    <w:name w:val="header"/>
    <w:basedOn w:val="Normal"/>
    <w:link w:val="HeaderChar"/>
    <w:uiPriority w:val="99"/>
    <w:unhideWhenUsed/>
    <w:rsid w:val="00AF1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15E"/>
  </w:style>
  <w:style w:type="paragraph" w:styleId="Footer">
    <w:name w:val="footer"/>
    <w:basedOn w:val="Normal"/>
    <w:link w:val="FooterChar"/>
    <w:uiPriority w:val="99"/>
    <w:unhideWhenUsed/>
    <w:rsid w:val="00AF1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15E"/>
  </w:style>
  <w:style w:type="paragraph" w:styleId="NormalWeb">
    <w:name w:val="Normal (Web)"/>
    <w:basedOn w:val="Normal"/>
    <w:uiPriority w:val="99"/>
    <w:unhideWhenUsed/>
    <w:rsid w:val="00AF11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1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22995">
      <w:bodyDiv w:val="1"/>
      <w:marLeft w:val="0"/>
      <w:marRight w:val="0"/>
      <w:marTop w:val="0"/>
      <w:marBottom w:val="0"/>
      <w:divBdr>
        <w:top w:val="none" w:sz="0" w:space="0" w:color="auto"/>
        <w:left w:val="none" w:sz="0" w:space="0" w:color="auto"/>
        <w:bottom w:val="none" w:sz="0" w:space="0" w:color="auto"/>
        <w:right w:val="none" w:sz="0" w:space="0" w:color="auto"/>
      </w:divBdr>
    </w:div>
    <w:div w:id="1300845038">
      <w:bodyDiv w:val="1"/>
      <w:marLeft w:val="0"/>
      <w:marRight w:val="0"/>
      <w:marTop w:val="0"/>
      <w:marBottom w:val="0"/>
      <w:divBdr>
        <w:top w:val="none" w:sz="0" w:space="0" w:color="auto"/>
        <w:left w:val="none" w:sz="0" w:space="0" w:color="auto"/>
        <w:bottom w:val="none" w:sz="0" w:space="0" w:color="auto"/>
        <w:right w:val="none" w:sz="0" w:space="0" w:color="auto"/>
      </w:divBdr>
    </w:div>
    <w:div w:id="1670209643">
      <w:bodyDiv w:val="1"/>
      <w:marLeft w:val="0"/>
      <w:marRight w:val="0"/>
      <w:marTop w:val="0"/>
      <w:marBottom w:val="0"/>
      <w:divBdr>
        <w:top w:val="none" w:sz="0" w:space="0" w:color="auto"/>
        <w:left w:val="none" w:sz="0" w:space="0" w:color="auto"/>
        <w:bottom w:val="none" w:sz="0" w:space="0" w:color="auto"/>
        <w:right w:val="none" w:sz="0" w:space="0" w:color="auto"/>
      </w:divBdr>
    </w:div>
    <w:div w:id="1925796591">
      <w:bodyDiv w:val="1"/>
      <w:marLeft w:val="0"/>
      <w:marRight w:val="0"/>
      <w:marTop w:val="0"/>
      <w:marBottom w:val="0"/>
      <w:divBdr>
        <w:top w:val="none" w:sz="0" w:space="0" w:color="auto"/>
        <w:left w:val="none" w:sz="0" w:space="0" w:color="auto"/>
        <w:bottom w:val="none" w:sz="0" w:space="0" w:color="auto"/>
        <w:right w:val="none" w:sz="0" w:space="0" w:color="auto"/>
      </w:divBdr>
    </w:div>
    <w:div w:id="212063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Coo11</b:Tag>
    <b:SourceType>Book</b:SourceType>
    <b:Guid>{4AB859F5-B0D3-44CD-9780-BEF328887AAB}</b:Guid>
    <b:Title>Cook et al.</b:Title>
    <b:Year>2011</b:Year>
    <b:RefOrder>1</b:RefOrder>
  </b:Source>
  <b:Source>
    <b:Tag>Bra12</b:Tag>
    <b:SourceType>Book</b:SourceType>
    <b:Guid>{ADFD714A-D430-4B3E-B3BD-5EA6DE15490B}</b:Guid>
    <b:Title>Brandl &amp; Raymond</b:Title>
    <b:Year>2012</b:Year>
    <b:RefOrder>2</b:RefOrder>
  </b:Source>
  <b:Source>
    <b:Tag>Pil16</b:Tag>
    <b:SourceType>JournalArticle</b:SourceType>
    <b:Guid>{765F69B0-BFF5-4AE2-A918-1C432A8CC4E0}</b:Guid>
    <b:Title>Pillemer,</b:Title>
    <b:Year>2016</b:Year>
    <b:RefOrder>3</b:RefOrder>
  </b:Source>
  <b:Source>
    <b:Tag>Lac16</b:Tag>
    <b:SourceType>JournalArticle</b:SourceType>
    <b:Guid>{566C413B-30EA-4D6A-BF33-78851D8467F9}</b:Guid>
    <b:Title>Lachs &amp; Pillemer</b:Title>
    <b:Year>2016</b:Year>
    <b:RefOrder>4</b:RefOrder>
  </b:Source>
</b:Sources>
</file>

<file path=customXml/itemProps1.xml><?xml version="1.0" encoding="utf-8"?>
<ds:datastoreItem xmlns:ds="http://schemas.openxmlformats.org/officeDocument/2006/customXml" ds:itemID="{4AA36231-6154-4841-8AFA-1A1A21E88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2019-12-04T13:11:00Z</dcterms:created>
  <dcterms:modified xsi:type="dcterms:W3CDTF">2019-12-04T13:12:00Z</dcterms:modified>
</cp:coreProperties>
</file>